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E16A" w14:textId="64C42B1F" w:rsidR="00717528" w:rsidRDefault="00000000" w:rsidP="003D132F">
      <w:pPr>
        <w:jc w:val="center"/>
      </w:pPr>
      <w:r>
        <w:rPr>
          <w:noProof/>
        </w:rPr>
        <w:drawing>
          <wp:inline distT="0" distB="0" distL="0" distR="0" wp14:anchorId="47CF824A" wp14:editId="7EC63476">
            <wp:extent cx="1828800" cy="9526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d7217-455e-40b2-8ac9-d9b309922c7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5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5818" w14:textId="54B73002" w:rsidR="00717528" w:rsidRDefault="00000000" w:rsidP="003D132F">
      <w:pPr>
        <w:pStyle w:val="Balk1"/>
        <w:jc w:val="center"/>
      </w:pPr>
      <w:r>
        <w:rPr>
          <w:color w:val="E66C0A"/>
          <w:sz w:val="44"/>
        </w:rPr>
        <w:t>TEDARİKÇİ CARİ HESAP ONAY SÜRECİ</w:t>
      </w:r>
    </w:p>
    <w:p w14:paraId="45C14099" w14:textId="77777777" w:rsidR="00717528" w:rsidRDefault="00000000">
      <w:pPr>
        <w:pStyle w:val="Balk2"/>
      </w:pPr>
      <w:r>
        <w:rPr>
          <w:color w:val="E66C0A"/>
          <w:sz w:val="36"/>
        </w:rPr>
        <w:t>1. Menü Erişimi ve Sürecin Başlatılması</w:t>
      </w:r>
    </w:p>
    <w:p w14:paraId="78062760" w14:textId="63CEA06B" w:rsidR="00717528" w:rsidRDefault="00000000" w:rsidP="003D132F">
      <w:pPr>
        <w:jc w:val="center"/>
      </w:pPr>
      <w:r>
        <w:rPr>
          <w:noProof/>
        </w:rPr>
        <w:drawing>
          <wp:inline distT="0" distB="0" distL="0" distR="0" wp14:anchorId="14D77C12" wp14:editId="29BF72EA">
            <wp:extent cx="5669280" cy="297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darikç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9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196D9" w14:textId="1EC417B8" w:rsidR="00717528" w:rsidRDefault="00000000">
      <w:pPr>
        <w:pStyle w:val="ListeMaddemi"/>
      </w:pPr>
      <w:r>
        <w:rPr>
          <w:sz w:val="26"/>
        </w:rPr>
        <w:t xml:space="preserve">Denetim Departmanı menüsü altında yer alan **“Tedarikçi Cari Hesap Onay </w:t>
      </w:r>
      <w:proofErr w:type="gramStart"/>
      <w:r>
        <w:rPr>
          <w:sz w:val="26"/>
        </w:rPr>
        <w:t>Süreci”*</w:t>
      </w:r>
      <w:proofErr w:type="gramEnd"/>
      <w:r>
        <w:rPr>
          <w:sz w:val="26"/>
        </w:rPr>
        <w:t>* modülü, tedarikçi cari hesap açılış taleplerinin tek bir kanaldan ve standart biçimde yönetilmesini sağlar.</w:t>
      </w:r>
    </w:p>
    <w:p w14:paraId="66A4B7CE" w14:textId="77777777" w:rsidR="00717528" w:rsidRDefault="00000000">
      <w:pPr>
        <w:pStyle w:val="ListeMaddemi"/>
      </w:pPr>
      <w:r>
        <w:rPr>
          <w:sz w:val="26"/>
        </w:rPr>
        <w:t>Ekranda yer alan süreç alt menüleri sayesinde; yeni kayıt oluşturma ekranına erişim yapılabilir, ayrıca **Bekleyenler** ve **Sonuçlananlar** listeleri üzerinden süreç performansı ve geçmiş işlemler izlenebilir.</w:t>
      </w:r>
    </w:p>
    <w:p w14:paraId="582C43C9" w14:textId="77777777" w:rsidR="00717528" w:rsidRDefault="00000000">
      <w:pPr>
        <w:pStyle w:val="ListeMaddemi"/>
      </w:pPr>
      <w:r>
        <w:rPr>
          <w:sz w:val="26"/>
        </w:rPr>
        <w:t>Admin ekranı ile yetkili kullanıcılar, süreç tanımları ve sistemsel kontroller kapsamında gerekli yönetimsel aksiyonları alabilir; böylece süreç hem denetlenebilir hem de sürdürülebilir hale gelir.</w:t>
      </w:r>
    </w:p>
    <w:p w14:paraId="1017C194" w14:textId="782C9F48" w:rsidR="00717528" w:rsidRDefault="00000000" w:rsidP="003D132F">
      <w:pPr>
        <w:pStyle w:val="ListeMaddemi"/>
      </w:pPr>
      <w:r w:rsidRPr="003D132F">
        <w:rPr>
          <w:sz w:val="26"/>
        </w:rPr>
        <w:t>Bu adım, sürecin resmi olarak başlatıldığı ve kullanıcıların doğru ekranlara yönlendirildiği başlangıç noktasıdır.</w:t>
      </w:r>
      <w:r>
        <w:br w:type="page"/>
      </w:r>
    </w:p>
    <w:p w14:paraId="7A69FA44" w14:textId="77777777" w:rsidR="00717528" w:rsidRDefault="00000000">
      <w:pPr>
        <w:pStyle w:val="Balk2"/>
      </w:pPr>
      <w:r>
        <w:rPr>
          <w:color w:val="E66C0A"/>
          <w:sz w:val="36"/>
        </w:rPr>
        <w:lastRenderedPageBreak/>
        <w:t>2. Tedarikçi Cari Hesap Onay Formu – Cari Bilgiler ve Belge Yükleme</w:t>
      </w:r>
    </w:p>
    <w:p w14:paraId="456F056C" w14:textId="62E776C4" w:rsidR="00717528" w:rsidRDefault="00000000" w:rsidP="003D132F">
      <w:pPr>
        <w:jc w:val="center"/>
      </w:pPr>
      <w:r>
        <w:rPr>
          <w:noProof/>
        </w:rPr>
        <w:drawing>
          <wp:inline distT="0" distB="0" distL="0" distR="0" wp14:anchorId="30A85393" wp14:editId="0069F88E">
            <wp:extent cx="5668645" cy="4433977"/>
            <wp:effectExtent l="0" t="0" r="825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darikçi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861" cy="444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FE7EF" w14:textId="77777777" w:rsidR="00717528" w:rsidRDefault="00000000">
      <w:pPr>
        <w:pStyle w:val="ListeMaddemi"/>
      </w:pPr>
      <w:r>
        <w:rPr>
          <w:sz w:val="26"/>
        </w:rPr>
        <w:t>**Formu Dolduran Bilgiler** alanında ad-soyad, departman ve pozisyon gibi bilgiler sistem tarafından otomatik getirildiğinden, işlemin kimin tarafından başlatıldığı net şekilde kayıt altına alınır.</w:t>
      </w:r>
    </w:p>
    <w:p w14:paraId="7BE1A4A5" w14:textId="77777777" w:rsidR="00717528" w:rsidRDefault="00000000">
      <w:pPr>
        <w:pStyle w:val="ListeMaddemi"/>
      </w:pPr>
      <w:r>
        <w:rPr>
          <w:sz w:val="26"/>
        </w:rPr>
        <w:t>**Cari Bilgileri** bölümünde firma/şube seçimi, cari kod/ünvan, döviz cinsi, temsilci/grup bilgileri ve vergi detayları eksiksiz girilmelidir. Bu alanlar, muhasebesel ve raporlama süreçlerinin doğruluğu için kritik veri setini oluşturur.</w:t>
      </w:r>
    </w:p>
    <w:p w14:paraId="4E0E8885" w14:textId="77777777" w:rsidR="003D132F" w:rsidRPr="003D132F" w:rsidRDefault="00000000">
      <w:pPr>
        <w:pStyle w:val="ListeMaddemi"/>
      </w:pPr>
      <w:r w:rsidRPr="003D132F">
        <w:rPr>
          <w:sz w:val="26"/>
        </w:rPr>
        <w:t>İletişim bilgileri (e-posta, telefon vb.) doğru girildiğinde, süreç içi bilgilendirme ve gerektiğinde mutabakat adımları daha hızlı ve sağlıklı yürütülür.</w:t>
      </w:r>
    </w:p>
    <w:p w14:paraId="0B2BFA12" w14:textId="63BF5BD3" w:rsidR="00717528" w:rsidRDefault="00000000" w:rsidP="003D132F">
      <w:pPr>
        <w:pStyle w:val="ListeMaddemi"/>
      </w:pPr>
      <w:r w:rsidRPr="003D132F">
        <w:rPr>
          <w:sz w:val="26"/>
        </w:rPr>
        <w:t>Alt bölümde yer alan **Sözleşme Örneği** gibi dokümanların sisteme yüklenmesi; tedarikçi ilişkisinin hukuki dayanağını güçlendirir ve iç kontrol gerekliliklerini karşılar.</w:t>
      </w:r>
      <w:r>
        <w:br w:type="page"/>
      </w:r>
    </w:p>
    <w:p w14:paraId="31254115" w14:textId="77777777" w:rsidR="00717528" w:rsidRDefault="00000000">
      <w:pPr>
        <w:pStyle w:val="Balk2"/>
      </w:pPr>
      <w:r>
        <w:rPr>
          <w:color w:val="E66C0A"/>
          <w:sz w:val="36"/>
        </w:rPr>
        <w:lastRenderedPageBreak/>
        <w:t>3. Adres Bilgileri, Ek Açıklamalar ve Onaya Gönderim</w:t>
      </w:r>
    </w:p>
    <w:p w14:paraId="7D3E9379" w14:textId="77777777" w:rsidR="00717528" w:rsidRDefault="00000000">
      <w:pPr>
        <w:jc w:val="center"/>
      </w:pPr>
      <w:r>
        <w:rPr>
          <w:noProof/>
        </w:rPr>
        <w:drawing>
          <wp:inline distT="0" distB="0" distL="0" distR="0" wp14:anchorId="08DD581D" wp14:editId="2E8A1865">
            <wp:extent cx="5669280" cy="44291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darikçi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442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88C8" w14:textId="77777777" w:rsidR="00717528" w:rsidRDefault="00717528"/>
    <w:p w14:paraId="4A085C5D" w14:textId="77777777" w:rsidR="00717528" w:rsidRDefault="00000000">
      <w:pPr>
        <w:pStyle w:val="ListeMaddemi"/>
      </w:pPr>
      <w:r>
        <w:rPr>
          <w:sz w:val="26"/>
        </w:rPr>
        <w:t>Sözleşme örneği ve imza sirküsü gibi belgeler **Ekle** alanları üzerinden sisteme yüklenir; bu dokümanlar kontrol ve denetim süreçlerinde referans niteliği taşır.</w:t>
      </w:r>
    </w:p>
    <w:p w14:paraId="3DCC315B" w14:textId="77777777" w:rsidR="00717528" w:rsidRDefault="00000000">
      <w:pPr>
        <w:pStyle w:val="ListeMaddemi"/>
      </w:pPr>
      <w:r>
        <w:rPr>
          <w:sz w:val="26"/>
        </w:rPr>
        <w:t>**Adres Bilgileri** bölümünde ülke/il/ilçe ve detay adres alanları eksiksiz doldurulmalıdır. Doğru adres verisi; resmi yazışmalar, sevkiyat/teslimat süreçleri ve tedarikçi kart yönetimi için önemlidir.</w:t>
      </w:r>
    </w:p>
    <w:p w14:paraId="5D8E342B" w14:textId="77777777" w:rsidR="00717528" w:rsidRDefault="00000000">
      <w:pPr>
        <w:pStyle w:val="ListeMaddemi"/>
      </w:pPr>
      <w:r>
        <w:rPr>
          <w:sz w:val="26"/>
        </w:rPr>
        <w:t>**Açıklama** alanı; talebin gerekçesi, özel durumlar veya kontrol notlarının kurumsal hafızaya kazandırılması için kullanılmalıdır. Bu alan, özellikle iade/eksik bilgi durumlarında süreç kalitesini artırır.</w:t>
      </w:r>
    </w:p>
    <w:p w14:paraId="337433BB" w14:textId="77777777" w:rsidR="00717528" w:rsidRDefault="00000000">
      <w:pPr>
        <w:pStyle w:val="ListeMaddemi"/>
      </w:pPr>
      <w:r>
        <w:rPr>
          <w:sz w:val="26"/>
        </w:rPr>
        <w:t>**Süreç Durum Bilgisi** kısmından durum seçilerek talep **Onaya Gönder** ile akışa alınır; gerekli hallerde **İptal Et** ile süreç sonlandırılır. Tüm adımlar sistem üzerinden izlenebilir ve kayıt altındadır.</w:t>
      </w:r>
    </w:p>
    <w:p w14:paraId="0BF16C2C" w14:textId="77777777" w:rsidR="00717528" w:rsidRDefault="00717528"/>
    <w:sectPr w:rsidR="007175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5596002">
    <w:abstractNumId w:val="8"/>
  </w:num>
  <w:num w:numId="2" w16cid:durableId="1858351658">
    <w:abstractNumId w:val="6"/>
  </w:num>
  <w:num w:numId="3" w16cid:durableId="1427464101">
    <w:abstractNumId w:val="5"/>
  </w:num>
  <w:num w:numId="4" w16cid:durableId="1602297335">
    <w:abstractNumId w:val="4"/>
  </w:num>
  <w:num w:numId="5" w16cid:durableId="821434404">
    <w:abstractNumId w:val="7"/>
  </w:num>
  <w:num w:numId="6" w16cid:durableId="536431437">
    <w:abstractNumId w:val="3"/>
  </w:num>
  <w:num w:numId="7" w16cid:durableId="189804490">
    <w:abstractNumId w:val="2"/>
  </w:num>
  <w:num w:numId="8" w16cid:durableId="35007295">
    <w:abstractNumId w:val="1"/>
  </w:num>
  <w:num w:numId="9" w16cid:durableId="173041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132F"/>
    <w:rsid w:val="00717528"/>
    <w:rsid w:val="00A705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3B597"/>
  <w14:defaultImageDpi w14:val="300"/>
  <w15:docId w15:val="{9707B6D8-4793-4CA6-972A-EB986690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Cemre Yilmaz</cp:lastModifiedBy>
  <cp:revision>2</cp:revision>
  <dcterms:created xsi:type="dcterms:W3CDTF">2013-12-23T23:15:00Z</dcterms:created>
  <dcterms:modified xsi:type="dcterms:W3CDTF">2026-02-18T08:12:00Z</dcterms:modified>
  <cp:category/>
</cp:coreProperties>
</file>